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UnofficialTitle"/>
        <w:id w:val="1117723590"/>
        <w:placeholder>
          <w:docPart w:val="1B8FA6578AD543A68782C995A98B6D7B"/>
        </w:placeholder>
        <w:dataBinding w:prefixMappings="xmlns:gbs='http://www.software-innovation.no/growBusinessDocument'" w:xpath="/gbs:GrowBusinessDocument/gbs:UnofficialTitle[@gbs:key='1117723590']" w:storeItemID="{79F27E50-EA08-4419-9A07-775FFCF5C91C}"/>
        <w:text/>
      </w:sdtPr>
      <w:sdtContent>
        <w:p w:rsidR="0049233F" w:rsidRDefault="0049233F" w:rsidP="0049233F">
          <w:pPr>
            <w:pStyle w:val="Tittel"/>
            <w:rPr>
              <w:rFonts w:eastAsia="Times New Roman" w:cs="Times New Roman"/>
              <w:b/>
              <w:sz w:val="20"/>
              <w:szCs w:val="20"/>
            </w:rPr>
          </w:pPr>
          <w:r>
            <w:t>Posisjonering av mobiltelefoner i vegtunneler</w:t>
          </w:r>
        </w:p>
      </w:sdtContent>
    </w:sdt>
    <w:p w:rsidR="0049233F" w:rsidRDefault="0049233F" w:rsidP="0049233F">
      <w:bookmarkStart w:id="0" w:name="_GoBack"/>
      <w:bookmarkEnd w:id="0"/>
    </w:p>
    <w:p w:rsidR="0049233F" w:rsidRDefault="0049233F" w:rsidP="0049233F">
      <w:r>
        <w:t>I følge data fra Telenor og Telia (januar 2018) er dekning for mobiltelefoni i vegtunneler som angitt i tabellen under. Dataene er oppgitt til å være &gt;95% korrekte.</w:t>
      </w:r>
    </w:p>
    <w:p w:rsidR="0049233F" w:rsidRDefault="0049233F" w:rsidP="0049233F"/>
    <w:tbl>
      <w:tblPr>
        <w:tblW w:w="35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765"/>
        <w:gridCol w:w="689"/>
      </w:tblGrid>
      <w:tr w:rsidR="0049233F" w:rsidRPr="005B03E1" w:rsidTr="00C62769">
        <w:trPr>
          <w:trHeight w:val="270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>
              <w:rPr>
                <w:rFonts w:ascii="Calibri" w:hAnsi="Calibri"/>
                <w:color w:val="000000"/>
                <w:lang w:eastAsia="nb-NO"/>
              </w:rPr>
              <w:t>Tunnel lengde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Base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Rep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Tot</w:t>
            </w:r>
          </w:p>
        </w:tc>
      </w:tr>
      <w:tr w:rsidR="0049233F" w:rsidRPr="005B03E1" w:rsidTr="00C62769">
        <w:trPr>
          <w:trHeight w:val="255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&gt;500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156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232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388</w:t>
            </w:r>
          </w:p>
        </w:tc>
      </w:tr>
      <w:tr w:rsidR="0049233F" w:rsidRPr="005B03E1" w:rsidTr="00C62769">
        <w:trPr>
          <w:trHeight w:val="2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40 %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60 %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  <w:tr w:rsidR="0049233F" w:rsidRPr="005B03E1" w:rsidTr="00C62769">
        <w:trPr>
          <w:trHeight w:val="255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&gt;1000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114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139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253</w:t>
            </w:r>
          </w:p>
        </w:tc>
      </w:tr>
      <w:tr w:rsidR="0049233F" w:rsidRPr="005B03E1" w:rsidTr="00C62769">
        <w:trPr>
          <w:trHeight w:val="2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45 %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55 %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  <w:tr w:rsidR="0049233F" w:rsidRPr="005B03E1" w:rsidTr="00C62769">
        <w:trPr>
          <w:trHeight w:val="255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&gt;1900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75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58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133</w:t>
            </w:r>
          </w:p>
        </w:tc>
      </w:tr>
      <w:tr w:rsidR="0049233F" w:rsidRPr="005B03E1" w:rsidTr="00C62769">
        <w:trPr>
          <w:trHeight w:val="270"/>
        </w:trPr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56 %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44 %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9233F" w:rsidRPr="005B03E1" w:rsidRDefault="0049233F" w:rsidP="00C62769">
            <w:pPr>
              <w:jc w:val="center"/>
              <w:rPr>
                <w:rFonts w:ascii="Calibri" w:hAnsi="Calibri"/>
                <w:color w:val="000000"/>
                <w:lang w:eastAsia="nb-NO"/>
              </w:rPr>
            </w:pPr>
            <w:r w:rsidRPr="005B03E1">
              <w:rPr>
                <w:rFonts w:ascii="Calibri" w:hAnsi="Calibri"/>
                <w:color w:val="000000"/>
                <w:lang w:eastAsia="nb-NO"/>
              </w:rPr>
              <w:t> </w:t>
            </w:r>
          </w:p>
        </w:tc>
      </w:tr>
    </w:tbl>
    <w:p w:rsidR="0049233F" w:rsidRDefault="0049233F" w:rsidP="0049233F"/>
    <w:p w:rsidR="0049233F" w:rsidRDefault="0049233F" w:rsidP="0049233F">
      <w:r>
        <w:t xml:space="preserve">Det er ikke oppgitt om tunneler med basestasjon er tilkoplet som en egen </w:t>
      </w:r>
      <w:r w:rsidRPr="00946ED2">
        <w:rPr>
          <w:i/>
        </w:rPr>
        <w:t>sektor</w:t>
      </w:r>
      <w:r>
        <w:t xml:space="preserve"> under basestasjonen. Dette har vesentlig betydning for å bestemme om en mobiltelefon er inne i en tunnel.</w:t>
      </w:r>
    </w:p>
    <w:p w:rsidR="0049233F" w:rsidRDefault="0049233F" w:rsidP="0049233F"/>
    <w:p w:rsidR="0049233F" w:rsidRDefault="0049233F" w:rsidP="0049233F"/>
    <w:p w:rsidR="0049233F" w:rsidRPr="00946ED2" w:rsidRDefault="0049233F" w:rsidP="0049233F">
      <w:pPr>
        <w:rPr>
          <w:b/>
        </w:rPr>
      </w:pPr>
      <w:r w:rsidRPr="00946ED2">
        <w:rPr>
          <w:b/>
        </w:rPr>
        <w:t>Nødstrøm</w:t>
      </w:r>
    </w:p>
    <w:p w:rsidR="0049233F" w:rsidRDefault="0049233F" w:rsidP="0049233F">
      <w:r>
        <w:t xml:space="preserve">Telenor oppgir at basestasjoner i tunneler har nødstrøm fra 0 til 6,5 timer. Telia oppgir at deres basestasjoner for tunneler har nødstrøm i 15 min. </w:t>
      </w:r>
      <w:proofErr w:type="spellStart"/>
      <w:r>
        <w:t>Repeatere</w:t>
      </w:r>
      <w:proofErr w:type="spellEnd"/>
      <w:r>
        <w:t xml:space="preserve"> har ikke nødstrøm.</w:t>
      </w:r>
    </w:p>
    <w:p w:rsidR="0049233F" w:rsidRDefault="0049233F" w:rsidP="0049233F"/>
    <w:p w:rsidR="0049233F" w:rsidRDefault="0049233F" w:rsidP="0049233F">
      <w:r>
        <w:t xml:space="preserve">Ved strømutfall i tunnel vil det ikke være mobiltelefon dekning i vegtunneler som er dekket med </w:t>
      </w:r>
      <w:proofErr w:type="spellStart"/>
      <w:r>
        <w:t>repeatere</w:t>
      </w:r>
      <w:proofErr w:type="spellEnd"/>
      <w:r>
        <w:t>. Det er stor usikkerhet om det vil være dekning i tunneler med basestasjoner i mer enn 15 min etter strømutfall.</w:t>
      </w:r>
    </w:p>
    <w:p w:rsidR="0049233F" w:rsidRDefault="0049233F" w:rsidP="0049233F"/>
    <w:p w:rsidR="0049233F" w:rsidRDefault="0049233F" w:rsidP="0049233F">
      <w:pPr>
        <w:rPr>
          <w:b/>
        </w:rPr>
      </w:pPr>
      <w:r>
        <w:rPr>
          <w:b/>
        </w:rPr>
        <w:br w:type="page"/>
      </w:r>
    </w:p>
    <w:p w:rsidR="0049233F" w:rsidRPr="00946ED2" w:rsidRDefault="0049233F" w:rsidP="0049233F">
      <w:pPr>
        <w:rPr>
          <w:b/>
        </w:rPr>
      </w:pPr>
      <w:r>
        <w:rPr>
          <w:b/>
        </w:rPr>
        <w:lastRenderedPageBreak/>
        <w:t>Posisjonering av mobiltelefoner</w:t>
      </w:r>
      <w:r w:rsidRPr="00946ED2">
        <w:rPr>
          <w:b/>
        </w:rPr>
        <w:t xml:space="preserve"> i vegtunneler</w:t>
      </w:r>
    </w:p>
    <w:p w:rsidR="0049233F" w:rsidRDefault="0049233F" w:rsidP="0049233F">
      <w:r>
        <w:t>BTS</w:t>
      </w:r>
      <w:r>
        <w:tab/>
        <w:t xml:space="preserve">Base Station </w:t>
      </w:r>
      <w:proofErr w:type="spellStart"/>
      <w:r>
        <w:t>Tranceiver</w:t>
      </w:r>
      <w:proofErr w:type="spellEnd"/>
      <w:r>
        <w:t>, basestasjon</w:t>
      </w:r>
    </w:p>
    <w:p w:rsidR="0049233F" w:rsidRDefault="0049233F" w:rsidP="0049233F">
      <w:r>
        <w:t>MS</w:t>
      </w:r>
      <w:r>
        <w:tab/>
        <w:t>Mobile Station, mobiltelefon</w:t>
      </w:r>
    </w:p>
    <w:p w:rsidR="0049233F" w:rsidRDefault="0049233F" w:rsidP="0049233F"/>
    <w:p w:rsidR="0049233F" w:rsidRDefault="0049233F" w:rsidP="0049233F">
      <w:r>
        <w:t xml:space="preserve">I tunneler med </w:t>
      </w:r>
      <w:proofErr w:type="spellStart"/>
      <w:r>
        <w:t>repeatere</w:t>
      </w:r>
      <w:proofErr w:type="spellEnd"/>
      <w:r>
        <w:t xml:space="preserve"> vil beste posisjon til en MS være i sektoren fra BTS der tunnelen befinner seg. Det er ikke mulig å bestemme om en MS befinner seg inne i eller utenfor tunnelen. Da signaldistribusjonen i tunnelen skjer via forsterkere tilkoplet via optisk fiber, vil teknikker som benytter signal </w:t>
      </w:r>
      <w:proofErr w:type="spellStart"/>
      <w:r w:rsidRPr="005618E5">
        <w:rPr>
          <w:i/>
        </w:rPr>
        <w:t>Round</w:t>
      </w:r>
      <w:proofErr w:type="spellEnd"/>
      <w:r w:rsidRPr="005618E5">
        <w:rPr>
          <w:i/>
        </w:rPr>
        <w:t>-Trip Time</w:t>
      </w:r>
      <w:r w:rsidRPr="00592BAA">
        <w:t xml:space="preserve"> (RTT)</w:t>
      </w:r>
      <w:r>
        <w:t xml:space="preserve"> for å bedre posisjonsangivelsen ha for stor usikkerhet til å være til praktisk nytte.</w:t>
      </w:r>
    </w:p>
    <w:p w:rsidR="0049233F" w:rsidRDefault="0049233F" w:rsidP="0049233F"/>
    <w:p w:rsidR="0049233F" w:rsidRDefault="0049233F" w:rsidP="0049233F">
      <w:r>
        <w:t xml:space="preserve">I tunneler med BTS der tunnelen er en egen sektor, vil beste posisjon til en MS være inne i tunnelen. Da signaldistribusjonen i tunnelen skjer via forsterkere tilkoplet via optisk fiber, vil teknikker som benytter signal </w:t>
      </w:r>
      <w:proofErr w:type="spellStart"/>
      <w:r w:rsidRPr="005618E5">
        <w:rPr>
          <w:i/>
        </w:rPr>
        <w:t>Round</w:t>
      </w:r>
      <w:proofErr w:type="spellEnd"/>
      <w:r w:rsidRPr="005618E5">
        <w:rPr>
          <w:i/>
        </w:rPr>
        <w:t>-Trip Time</w:t>
      </w:r>
      <w:r w:rsidRPr="00592BAA">
        <w:t xml:space="preserve"> (RTT)</w:t>
      </w:r>
      <w:r>
        <w:t xml:space="preserve"> for å bedre posisjonsangivelsen ha for stor usikkerhet til å være til praktisk nytte. Det vil si at det ikke vil være mulig å bestemme med noen grad av sikkerhet hvor i tunnelen MS befinner seg.</w:t>
      </w:r>
    </w:p>
    <w:p w:rsidR="0049233F" w:rsidRDefault="0049233F" w:rsidP="0049233F"/>
    <w:p w:rsidR="0049233F" w:rsidRDefault="0049233F" w:rsidP="0049233F"/>
    <w:p w:rsidR="0049233F" w:rsidRDefault="0049233F" w:rsidP="0049233F"/>
    <w:p w:rsidR="0049233F" w:rsidRDefault="0049233F" w:rsidP="0049233F"/>
    <w:p w:rsidR="0049233F" w:rsidRDefault="0049233F" w:rsidP="0049233F">
      <w:pPr>
        <w:rPr>
          <w:b/>
        </w:rPr>
      </w:pPr>
      <w:r>
        <w:rPr>
          <w:b/>
        </w:rPr>
        <w:br w:type="page"/>
      </w:r>
    </w:p>
    <w:p w:rsidR="0049233F" w:rsidRDefault="0049233F" w:rsidP="0049233F">
      <w:r>
        <w:rPr>
          <w:b/>
        </w:rPr>
        <w:lastRenderedPageBreak/>
        <w:t>Kort om posisjonering av mobiltelefoner</w:t>
      </w:r>
    </w:p>
    <w:p w:rsidR="0049233F" w:rsidRDefault="0049233F" w:rsidP="0049233F"/>
    <w:p w:rsidR="0049233F" w:rsidRDefault="0049233F" w:rsidP="0049233F">
      <w:r>
        <w:t>Mobiltelefon nettverk har innebygget forskjellige nivåer for posisjonering av mobiltelefoner. Dette for å gjøre det mulig å sette opp anrop til en bestemt mobiltelefon, og å sikre kontinuitet i anrop når mobiltelefonen beveger seg fra en basestasjon til en annen.</w:t>
      </w:r>
    </w:p>
    <w:p w:rsidR="0049233F" w:rsidRDefault="0049233F" w:rsidP="0049233F"/>
    <w:p w:rsidR="0049233F" w:rsidRDefault="0049233F" w:rsidP="0049233F">
      <w:r w:rsidRPr="00176546">
        <w:t xml:space="preserve">På det høyeste nivået er det kjent at en mobiltelefon er innenfor et geografisk område dekket av </w:t>
      </w:r>
      <w:r>
        <w:t xml:space="preserve">et </w:t>
      </w:r>
      <w:r w:rsidRPr="00176546">
        <w:rPr>
          <w:i/>
        </w:rPr>
        <w:t>Public Land Mobile Network</w:t>
      </w:r>
      <w:r w:rsidRPr="00176546">
        <w:t xml:space="preserve"> (PLMN)</w:t>
      </w:r>
      <w:r>
        <w:t xml:space="preserve">. Et PLMN består av et antall </w:t>
      </w:r>
      <w:r w:rsidRPr="00176546">
        <w:rPr>
          <w:i/>
        </w:rPr>
        <w:t xml:space="preserve">Mobile </w:t>
      </w:r>
      <w:proofErr w:type="spellStart"/>
      <w:r w:rsidRPr="00176546">
        <w:rPr>
          <w:i/>
        </w:rPr>
        <w:t>Switching</w:t>
      </w:r>
      <w:proofErr w:type="spellEnd"/>
      <w:r w:rsidRPr="00176546">
        <w:rPr>
          <w:i/>
        </w:rPr>
        <w:t xml:space="preserve"> Centers</w:t>
      </w:r>
      <w:r>
        <w:t xml:space="preserve"> (MSC</w:t>
      </w:r>
      <w:r w:rsidRPr="00176546">
        <w:t>).</w:t>
      </w:r>
      <w:r>
        <w:t xml:space="preserve">  Innenfor MSC er det en eller flere </w:t>
      </w:r>
      <w:r w:rsidRPr="00141940">
        <w:rPr>
          <w:i/>
        </w:rPr>
        <w:t>Base Station Controllers</w:t>
      </w:r>
      <w:r>
        <w:t xml:space="preserve"> (BSC</w:t>
      </w:r>
      <w:r w:rsidRPr="00141940">
        <w:t>)</w:t>
      </w:r>
      <w:r>
        <w:t xml:space="preserve"> som håndterer grupper av basestasjoner (BTS). I BSC er det definert en eller flere </w:t>
      </w:r>
      <w:r w:rsidRPr="002072F7">
        <w:rPr>
          <w:i/>
        </w:rPr>
        <w:t>Location Areas</w:t>
      </w:r>
      <w:r>
        <w:t xml:space="preserve"> (LA</w:t>
      </w:r>
      <w:r w:rsidRPr="00141940">
        <w:t>)</w:t>
      </w:r>
      <w:r>
        <w:t xml:space="preserve">. Når det gjøres anrop til en MS, blir anropet sendt ut til alle </w:t>
      </w:r>
      <w:proofErr w:type="spellStart"/>
      <w:r>
        <w:t>BTSer</w:t>
      </w:r>
      <w:proofErr w:type="spellEnd"/>
      <w:r>
        <w:t xml:space="preserve"> i LA der MS befinner seg. </w:t>
      </w:r>
    </w:p>
    <w:p w:rsidR="0049233F" w:rsidRDefault="0049233F" w:rsidP="0049233F"/>
    <w:p w:rsidR="0049233F" w:rsidRDefault="0049233F" w:rsidP="0049233F">
      <w:r>
        <w:t>Hver BTS har en eller flere sektorer. En sektor dekker et begrenset område som bestemmes av flere faktorer, som type og høyde av antenner, miljøet den stråler i (by/land), og sendereffekt.</w:t>
      </w:r>
    </w:p>
    <w:p w:rsidR="0049233F" w:rsidRDefault="0049233F" w:rsidP="0049233F"/>
    <w:p w:rsidR="0049233F" w:rsidRPr="00592BAA" w:rsidRDefault="0049233F" w:rsidP="0049233F">
      <w:r w:rsidRPr="00592BAA">
        <w:t xml:space="preserve">Det er mulig å </w:t>
      </w:r>
      <w:r>
        <w:t>bestemme posisjonen til</w:t>
      </w:r>
      <w:r w:rsidRPr="00592BAA">
        <w:t xml:space="preserve"> en MS innenfor en sektor ved å benytte </w:t>
      </w:r>
      <w:r w:rsidRPr="005618E5">
        <w:rPr>
          <w:i/>
        </w:rPr>
        <w:t xml:space="preserve">Timing </w:t>
      </w:r>
      <w:proofErr w:type="spellStart"/>
      <w:r w:rsidRPr="005618E5">
        <w:rPr>
          <w:i/>
        </w:rPr>
        <w:t>Advance</w:t>
      </w:r>
      <w:proofErr w:type="spellEnd"/>
      <w:r w:rsidRPr="00592BAA">
        <w:t xml:space="preserve"> (TA) parameter</w:t>
      </w:r>
      <w:r>
        <w:t xml:space="preserve">, som er </w:t>
      </w:r>
      <w:proofErr w:type="spellStart"/>
      <w:r>
        <w:t>proposjonal</w:t>
      </w:r>
      <w:proofErr w:type="spellEnd"/>
      <w:r>
        <w:t xml:space="preserve"> med signal </w:t>
      </w:r>
      <w:proofErr w:type="spellStart"/>
      <w:r w:rsidRPr="005618E5">
        <w:rPr>
          <w:i/>
        </w:rPr>
        <w:t>Round</w:t>
      </w:r>
      <w:proofErr w:type="spellEnd"/>
      <w:r w:rsidRPr="005618E5">
        <w:rPr>
          <w:i/>
        </w:rPr>
        <w:t>-Trip Time</w:t>
      </w:r>
      <w:r w:rsidRPr="00592BAA">
        <w:t xml:space="preserve"> (RTT)</w:t>
      </w:r>
      <w:r>
        <w:t xml:space="preserve">, som er tiden et signal tar fra MS til sektor antennen og tilbake.  Ved å benytte teknikker som </w:t>
      </w:r>
      <w:proofErr w:type="spellStart"/>
      <w:r w:rsidRPr="005618E5">
        <w:rPr>
          <w:i/>
        </w:rPr>
        <w:t>Enhanced</w:t>
      </w:r>
      <w:proofErr w:type="spellEnd"/>
      <w:r w:rsidRPr="005618E5">
        <w:rPr>
          <w:i/>
        </w:rPr>
        <w:t xml:space="preserve"> </w:t>
      </w:r>
      <w:proofErr w:type="spellStart"/>
      <w:r w:rsidRPr="005618E5">
        <w:rPr>
          <w:i/>
        </w:rPr>
        <w:t>Observed</w:t>
      </w:r>
      <w:proofErr w:type="spellEnd"/>
      <w:r w:rsidRPr="005618E5">
        <w:rPr>
          <w:i/>
        </w:rPr>
        <w:t xml:space="preserve"> Time </w:t>
      </w:r>
      <w:proofErr w:type="spellStart"/>
      <w:r w:rsidRPr="005618E5">
        <w:rPr>
          <w:i/>
        </w:rPr>
        <w:t>Difference</w:t>
      </w:r>
      <w:proofErr w:type="spellEnd"/>
      <w:r w:rsidRPr="00592BAA">
        <w:t xml:space="preserve"> (EOTD) og </w:t>
      </w:r>
      <w:proofErr w:type="spellStart"/>
      <w:r w:rsidRPr="004525FE">
        <w:rPr>
          <w:i/>
        </w:rPr>
        <w:t>Uplink</w:t>
      </w:r>
      <w:proofErr w:type="spellEnd"/>
      <w:r w:rsidRPr="004525FE">
        <w:rPr>
          <w:i/>
        </w:rPr>
        <w:t xml:space="preserve"> Time </w:t>
      </w:r>
      <w:proofErr w:type="spellStart"/>
      <w:r w:rsidRPr="004525FE">
        <w:rPr>
          <w:i/>
        </w:rPr>
        <w:t>Difference</w:t>
      </w:r>
      <w:proofErr w:type="spellEnd"/>
      <w:r w:rsidRPr="004525FE">
        <w:rPr>
          <w:i/>
        </w:rPr>
        <w:t xml:space="preserve"> </w:t>
      </w:r>
      <w:proofErr w:type="spellStart"/>
      <w:r w:rsidRPr="004525FE">
        <w:rPr>
          <w:i/>
        </w:rPr>
        <w:t>of</w:t>
      </w:r>
      <w:proofErr w:type="spellEnd"/>
      <w:r w:rsidRPr="004525FE">
        <w:rPr>
          <w:i/>
        </w:rPr>
        <w:t xml:space="preserve"> </w:t>
      </w:r>
      <w:proofErr w:type="spellStart"/>
      <w:r w:rsidRPr="004525FE">
        <w:rPr>
          <w:i/>
        </w:rPr>
        <w:t>Arrival</w:t>
      </w:r>
      <w:proofErr w:type="spellEnd"/>
      <w:r w:rsidRPr="00592BAA">
        <w:t xml:space="preserve"> (UTDOA), kan TA området gjøres enda mindre.</w:t>
      </w:r>
    </w:p>
    <w:p w:rsidR="0049233F" w:rsidRDefault="0049233F" w:rsidP="0049233F"/>
    <w:p w:rsidR="0049233F" w:rsidRDefault="0049233F" w:rsidP="0049233F"/>
    <w:p w:rsidR="0049233F" w:rsidRDefault="0049233F" w:rsidP="0049233F">
      <w:r>
        <w:rPr>
          <w:noProof/>
          <w:lang w:eastAsia="nb-NO"/>
        </w:rPr>
        <w:drawing>
          <wp:inline distT="0" distB="0" distL="0" distR="0" wp14:anchorId="598BC0A5" wp14:editId="616A617E">
            <wp:extent cx="2872740" cy="2359751"/>
            <wp:effectExtent l="0" t="0" r="381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5454" cy="237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33F" w:rsidRDefault="0049233F" w:rsidP="0049233F"/>
    <w:p w:rsidR="0049233F" w:rsidRPr="004525FE" w:rsidRDefault="0049233F" w:rsidP="0049233F">
      <w:r w:rsidRPr="004525FE">
        <w:t>Posisjonerings hierarkiet i et GSM nettverk.</w:t>
      </w:r>
    </w:p>
    <w:p w:rsidR="0049233F" w:rsidRPr="004525FE" w:rsidRDefault="0049233F" w:rsidP="0049233F"/>
    <w:p w:rsidR="0049233F" w:rsidRPr="004525FE" w:rsidRDefault="0049233F" w:rsidP="0049233F">
      <w:r w:rsidRPr="004525FE">
        <w:t xml:space="preserve"> </w:t>
      </w:r>
    </w:p>
    <w:p w:rsidR="0049233F" w:rsidRPr="004525FE" w:rsidRDefault="0049233F" w:rsidP="0049233F">
      <w:r w:rsidRPr="004525FE">
        <w:br w:type="page"/>
      </w:r>
    </w:p>
    <w:p w:rsidR="0049233F" w:rsidRPr="00E93710" w:rsidRDefault="0049233F" w:rsidP="0049233F">
      <w:r w:rsidRPr="00E93710">
        <w:lastRenderedPageBreak/>
        <w:t>MS posisjonering i vegtunneler.</w:t>
      </w:r>
    </w:p>
    <w:p w:rsidR="0049233F" w:rsidRPr="00E93710" w:rsidRDefault="0049233F" w:rsidP="0049233F"/>
    <w:p w:rsidR="0049233F" w:rsidRPr="00A031BE" w:rsidRDefault="0049233F" w:rsidP="0049233F">
      <w:r w:rsidRPr="00A031BE">
        <w:t xml:space="preserve">For en vegtunnel med </w:t>
      </w:r>
      <w:proofErr w:type="spellStart"/>
      <w:r w:rsidRPr="00A031BE">
        <w:t>repeater</w:t>
      </w:r>
      <w:proofErr w:type="spellEnd"/>
      <w:r w:rsidRPr="00A031BE">
        <w:t xml:space="preserve"> blir beste posisjon til en MS </w:t>
      </w:r>
      <w:r>
        <w:t>et sted i</w:t>
      </w:r>
      <w:r w:rsidRPr="00A031BE">
        <w:t xml:space="preserve"> sektor</w:t>
      </w:r>
      <w:r>
        <w:t>en</w:t>
      </w:r>
      <w:r w:rsidRPr="00A031BE">
        <w:t xml:space="preserve"> </w:t>
      </w:r>
      <w:r>
        <w:t xml:space="preserve">under en bestemt BTS. BSC vil se alle MS i samme sektor, ikke bare de som er inne i tunnelen. Mer nøyaktig posisjonering med teknikker som benytter signal </w:t>
      </w:r>
      <w:proofErr w:type="spellStart"/>
      <w:r w:rsidRPr="005618E5">
        <w:rPr>
          <w:i/>
        </w:rPr>
        <w:t>Round</w:t>
      </w:r>
      <w:proofErr w:type="spellEnd"/>
      <w:r w:rsidRPr="005618E5">
        <w:rPr>
          <w:i/>
        </w:rPr>
        <w:t>-Trip Time</w:t>
      </w:r>
      <w:r w:rsidRPr="00592BAA">
        <w:t xml:space="preserve"> (RTT)</w:t>
      </w:r>
      <w:r>
        <w:t xml:space="preserve"> gir ikke særlig god mening i tunneler, da en del av signaldistribusjonen i tunneler skjer via optisk fiber.</w:t>
      </w:r>
    </w:p>
    <w:p w:rsidR="0049233F" w:rsidRPr="00A031BE" w:rsidRDefault="0049233F" w:rsidP="0049233F"/>
    <w:p w:rsidR="0049233F" w:rsidRDefault="0049233F" w:rsidP="0049233F">
      <w:pPr>
        <w:rPr>
          <w:lang w:val="en-GB"/>
        </w:rPr>
      </w:pPr>
      <w:r>
        <w:object w:dxaOrig="14370" w:dyaOrig="4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130.25pt" o:ole="">
            <v:imagedata r:id="rId5" o:title=""/>
          </v:shape>
          <o:OLEObject Type="Embed" ProgID="Visio.Drawing.15" ShapeID="_x0000_i1025" DrawAspect="Content" ObjectID="_1588508011" r:id="rId6"/>
        </w:object>
      </w:r>
    </w:p>
    <w:p w:rsidR="0049233F" w:rsidRDefault="0049233F" w:rsidP="0049233F">
      <w:pPr>
        <w:rPr>
          <w:lang w:val="en-GB"/>
        </w:rPr>
      </w:pPr>
    </w:p>
    <w:p w:rsidR="0049233F" w:rsidRDefault="0049233F" w:rsidP="0049233F">
      <w:pPr>
        <w:rPr>
          <w:lang w:val="en-GB"/>
        </w:rPr>
      </w:pPr>
    </w:p>
    <w:p w:rsidR="0049233F" w:rsidRDefault="0049233F" w:rsidP="0049233F"/>
    <w:p w:rsidR="0049233F" w:rsidRPr="00A031BE" w:rsidRDefault="0049233F" w:rsidP="0049233F">
      <w:r w:rsidRPr="00A031BE">
        <w:t xml:space="preserve">For en vegtunnel med BTS, </w:t>
      </w:r>
      <w:r>
        <w:t>forutsatt at</w:t>
      </w:r>
      <w:r w:rsidRPr="00A031BE">
        <w:t xml:space="preserve"> tunnelen</w:t>
      </w:r>
      <w:r>
        <w:t xml:space="preserve"> er</w:t>
      </w:r>
      <w:r w:rsidRPr="00A031BE">
        <w:t xml:space="preserve"> </w:t>
      </w:r>
      <w:r>
        <w:t xml:space="preserve">tilkoplet </w:t>
      </w:r>
      <w:r w:rsidRPr="00A031BE">
        <w:t xml:space="preserve">BTS </w:t>
      </w:r>
      <w:r>
        <w:t>som</w:t>
      </w:r>
      <w:r w:rsidRPr="00A031BE">
        <w:t xml:space="preserve"> en egen sektor, blir beste posisjon til en MS</w:t>
      </w:r>
      <w:r>
        <w:t xml:space="preserve"> et sted inne i tunnelen. </w:t>
      </w:r>
    </w:p>
    <w:p w:rsidR="0049233F" w:rsidRPr="00A031BE" w:rsidRDefault="0049233F" w:rsidP="0049233F"/>
    <w:p w:rsidR="0049233F" w:rsidRPr="00A031BE" w:rsidRDefault="0049233F" w:rsidP="0049233F">
      <w:r>
        <w:object w:dxaOrig="10696" w:dyaOrig="2056">
          <v:shape id="_x0000_i1026" type="#_x0000_t75" style="width:368.75pt;height:70.75pt" o:ole="">
            <v:imagedata r:id="rId7" o:title=""/>
          </v:shape>
          <o:OLEObject Type="Embed" ProgID="Visio.Drawing.15" ShapeID="_x0000_i1026" DrawAspect="Content" ObjectID="_1588508012" r:id="rId8"/>
        </w:object>
      </w:r>
    </w:p>
    <w:p w:rsidR="0049233F" w:rsidRPr="00A031BE" w:rsidRDefault="0049233F" w:rsidP="0049233F"/>
    <w:p w:rsidR="0049233F" w:rsidRDefault="0049233F" w:rsidP="0049233F">
      <w:r>
        <w:t>GSM signalet i tunnelen distribueres dels med antenner, og dels via optisk fiber mellom forsterkere. Forsterkerne er ikke intelligente, og BTS vil oppfatte dem som en del av sektoren. I tunnelrommet vil GSM signalet ha samme hastighet som lys (c). I optisk fiber vil hastigheten til signalet være c*0,66. Derfor vil teknikker som benytter RTT ikke gi særlig god mening.</w:t>
      </w:r>
    </w:p>
    <w:p w:rsidR="0049233F" w:rsidRDefault="0049233F" w:rsidP="0049233F"/>
    <w:p w:rsidR="0049233F" w:rsidRPr="00A031BE" w:rsidRDefault="0049233F" w:rsidP="0049233F">
      <w:r>
        <w:t>La oss ta et eksempel i tunnelen ovenfor. En MS befinner seg 1000 m inne i tunnelen. Den er utenfor dekning fra BTS direkte, men innenfor dekning av en forsterker. BTS vet ikke hvilken forsterker antenne signalet kommer inn på, bare at det kommer fra forsterkeren. Ved å benytte RTT teknikker vil BTS oppfatte det som om MS er 1600/0,66(fiber) + 600 = &gt;3000 m inne i tunnelen.</w:t>
      </w:r>
    </w:p>
    <w:p w:rsidR="0049233F" w:rsidRDefault="0049233F" w:rsidP="0049233F"/>
    <w:p w:rsidR="0049233F" w:rsidRDefault="0049233F" w:rsidP="0049233F"/>
    <w:p w:rsidR="0049233F" w:rsidRDefault="0049233F" w:rsidP="0049233F">
      <w:r>
        <w:t>For spesielt interesserte:</w:t>
      </w:r>
    </w:p>
    <w:p w:rsidR="0049233F" w:rsidRDefault="0049233F" w:rsidP="0049233F"/>
    <w:p w:rsidR="0049233F" w:rsidRDefault="0049233F" w:rsidP="0049233F">
      <w:hyperlink r:id="rId9" w:history="1">
        <w:r w:rsidRPr="00590144">
          <w:rPr>
            <w:rStyle w:val="Hyperkobling"/>
          </w:rPr>
          <w:t>https://www.hindawi.com/journals/wcmc/2017/2315036/</w:t>
        </w:r>
      </w:hyperlink>
    </w:p>
    <w:p w:rsidR="00886F65" w:rsidRPr="007328CC" w:rsidRDefault="00886F65" w:rsidP="007328CC"/>
    <w:sectPr w:rsidR="00886F65" w:rsidRPr="007328CC" w:rsidSect="0049233F">
      <w:headerReference w:type="even" r:id="rId10"/>
      <w:headerReference w:type="default" r:id="rId11"/>
      <w:headerReference w:type="first" r:id="rId12"/>
      <w:pgSz w:w="11907" w:h="16840" w:code="9"/>
      <w:pgMar w:top="1418" w:right="1418" w:bottom="1418" w:left="1418" w:header="720" w:footer="142" w:gutter="0"/>
      <w:paperSrc w:first="15" w:other="15"/>
      <w:cols w:space="708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85" w:rsidRDefault="00A11F75">
    <w:pPr>
      <w:pStyle w:val="Topptekst"/>
      <w:framePr w:wrap="around" w:vAnchor="text" w:hAnchor="margin" w:xAlign="right" w:y="1"/>
      <w:rPr>
        <w:rStyle w:val="Sidetall"/>
        <w:rFonts w:eastAsiaTheme="majorEastAsia"/>
      </w:rPr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PAGE 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  <w:p w:rsidR="00CB2385" w:rsidRDefault="00A11F7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85" w:rsidRDefault="00A11F75">
    <w:pPr>
      <w:pStyle w:val="Topptekst"/>
      <w:tabs>
        <w:tab w:val="clear" w:pos="9072"/>
        <w:tab w:val="right" w:pos="7938"/>
      </w:tabs>
      <w:ind w:right="-1"/>
      <w:jc w:val="right"/>
      <w:rPr>
        <w:rStyle w:val="Sidetall"/>
        <w:rFonts w:eastAsiaTheme="majorEastAsia"/>
      </w:rPr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4</w:t>
    </w:r>
    <w:r>
      <w:rPr>
        <w:rStyle w:val="Sidetall"/>
        <w:rFonts w:eastAsiaTheme="majorEastAsia"/>
      </w:rPr>
      <w:fldChar w:fldCharType="end"/>
    </w:r>
  </w:p>
  <w:p w:rsidR="00CB2385" w:rsidRDefault="00A11F75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9071"/>
    </w:tblGrid>
    <w:tr w:rsidR="00CB2385">
      <w:trPr>
        <w:trHeight w:hRule="exact" w:val="992"/>
        <w:jc w:val="center"/>
      </w:trPr>
      <w:tc>
        <w:tcPr>
          <w:tcW w:w="9242" w:type="dxa"/>
        </w:tcPr>
        <w:p w:rsidR="00CB2385" w:rsidRDefault="00A11F75">
          <w:pPr>
            <w:pStyle w:val="Topptekst"/>
            <w:spacing w:before="80"/>
            <w:ind w:left="-170"/>
            <w:jc w:val="center"/>
          </w:pPr>
          <w:bookmarkStart w:id="1" w:name="Logo" w:colFirst="0" w:colLast="0"/>
          <w:r>
            <w:rPr>
              <w:noProof/>
              <w:lang w:eastAsia="nb-NO"/>
            </w:rPr>
            <w:drawing>
              <wp:inline distT="0" distB="0" distL="0" distR="0" wp14:anchorId="6703C88B" wp14:editId="17317B0E">
                <wp:extent cx="677545" cy="4826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2385">
      <w:trPr>
        <w:jc w:val="center"/>
      </w:trPr>
      <w:tc>
        <w:tcPr>
          <w:tcW w:w="9242" w:type="dxa"/>
        </w:tcPr>
        <w:p w:rsidR="00CB2385" w:rsidRPr="0009166D" w:rsidRDefault="00A11F75">
          <w:pPr>
            <w:pStyle w:val="Topptekst"/>
            <w:ind w:left="-113"/>
            <w:jc w:val="center"/>
            <w:rPr>
              <w:b/>
              <w:bCs/>
              <w:spacing w:val="6"/>
              <w:sz w:val="24"/>
              <w:szCs w:val="24"/>
            </w:rPr>
          </w:pPr>
          <w:bookmarkStart w:id="2" w:name="TTL1" w:colFirst="0" w:colLast="0"/>
          <w:bookmarkEnd w:id="1"/>
          <w:r w:rsidRPr="0009166D">
            <w:rPr>
              <w:rFonts w:ascii="Humnst777 Blk BT" w:hAnsi="Humnst777 Blk BT"/>
              <w:b/>
              <w:bCs/>
              <w:spacing w:val="6"/>
              <w:sz w:val="24"/>
              <w:szCs w:val="24"/>
            </w:rPr>
            <w:t>Statens vegvesen</w:t>
          </w:r>
        </w:p>
      </w:tc>
    </w:tr>
    <w:bookmarkEnd w:id="2"/>
  </w:tbl>
  <w:p w:rsidR="00CB2385" w:rsidRDefault="00A11F75">
    <w:pPr>
      <w:pStyle w:val="Topptekst"/>
      <w:tabs>
        <w:tab w:val="left" w:pos="4111"/>
      </w:tabs>
    </w:pPr>
  </w:p>
  <w:p w:rsidR="00CB2385" w:rsidRDefault="00A11F75">
    <w:pPr>
      <w:pStyle w:val="Topptekst"/>
      <w:tabs>
        <w:tab w:val="left" w:pos="411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3F"/>
    <w:rsid w:val="00092FF3"/>
    <w:rsid w:val="001501F8"/>
    <w:rsid w:val="002411C0"/>
    <w:rsid w:val="00344D0E"/>
    <w:rsid w:val="004316D1"/>
    <w:rsid w:val="0049233F"/>
    <w:rsid w:val="00577BC9"/>
    <w:rsid w:val="005E7043"/>
    <w:rsid w:val="00696858"/>
    <w:rsid w:val="007328CC"/>
    <w:rsid w:val="00886F65"/>
    <w:rsid w:val="009C544C"/>
    <w:rsid w:val="00A11F75"/>
    <w:rsid w:val="00D366AC"/>
    <w:rsid w:val="00F1270F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16EA-AE1C-44C8-8A5D-2BD4D427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3F"/>
    <w:pPr>
      <w:spacing w:after="0"/>
    </w:pPr>
    <w:rPr>
      <w:rFonts w:ascii="Lucida Sans Unicode" w:eastAsia="Times New Roman" w:hAnsi="Lucida Sans Unicode" w:cs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 w:after="200"/>
      <w:outlineLvl w:val="4"/>
    </w:pPr>
    <w:rPr>
      <w:rFonts w:asciiTheme="majorHAnsi" w:eastAsiaTheme="majorEastAsia" w:hAnsiTheme="majorHAnsi" w:cstheme="majorBidi"/>
      <w:color w:val="3D4F59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 w:after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after="200"/>
    </w:pPr>
    <w:rPr>
      <w:rFonts w:asciiTheme="minorHAnsi" w:eastAsiaTheme="minorHAnsi" w:hAnsiTheme="minorHAnsi" w:cstheme="minorBidi"/>
      <w:sz w:val="96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spacing w:after="200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Sitat">
    <w:name w:val="Quote"/>
    <w:basedOn w:val="Normal"/>
    <w:next w:val="Normal"/>
    <w:link w:val="SitatTegn"/>
    <w:uiPriority w:val="29"/>
    <w:qFormat/>
    <w:rsid w:val="00D366AC"/>
    <w:pPr>
      <w:spacing w:after="200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after="200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4923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9233F"/>
    <w:rPr>
      <w:rFonts w:ascii="Lucida Sans Unicode" w:eastAsia="Times New Roman" w:hAnsi="Lucida Sans Unicode" w:cs="Times New Roman"/>
      <w:sz w:val="20"/>
      <w:szCs w:val="20"/>
    </w:rPr>
  </w:style>
  <w:style w:type="character" w:styleId="Sidetall">
    <w:name w:val="page number"/>
    <w:basedOn w:val="Standardskriftforavsnitt"/>
    <w:rsid w:val="0049233F"/>
  </w:style>
  <w:style w:type="character" w:styleId="Hyperkobling">
    <w:name w:val="Hyperlink"/>
    <w:basedOn w:val="Standardskriftforavsnitt"/>
    <w:unhideWhenUsed/>
    <w:rsid w:val="00492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-tegning22.vsdx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package" Target="embeddings/Microsoft_Visio-tegning11.vsdx"/><Relationship Id="rId11" Type="http://schemas.openxmlformats.org/officeDocument/2006/relationships/header" Target="header2.xml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hyperlink" Target="https://www.hindawi.com/journals/wcmc/2017/2315036/" TargetMode="Externa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8FA6578AD543A68782C995A98B6D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2161DD-0A1A-4D10-AF06-B47502BACCAF}"/>
      </w:docPartPr>
      <w:docPartBody>
        <w:p w:rsidR="00000000" w:rsidRDefault="00ED5DD8" w:rsidP="00ED5DD8">
          <w:pPr>
            <w:pStyle w:val="1B8FA6578AD543A68782C995A98B6D7B"/>
          </w:pPr>
          <w:r w:rsidRPr="00F70BC3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lk BT">
    <w:panose1 w:val="020B0803030504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D8"/>
    <w:rsid w:val="00ED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D5DD8"/>
    <w:rPr>
      <w:color w:val="808080"/>
    </w:rPr>
  </w:style>
  <w:style w:type="paragraph" w:customStyle="1" w:styleId="1B8FA6578AD543A68782C995A98B6D7B">
    <w:name w:val="1B8FA6578AD543A68782C995A98B6D7B"/>
    <w:rsid w:val="00ED5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2" ma:contentTypeDescription="Opprett et nytt dokument." ma:contentTypeScope="" ma:versionID="4613385d84f13d38212da309052eecee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78c38d866b55b7d765e45b03a1d61881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297</Virksomhet>
    <Virk xmlns="9092cff8-8f17-469c-b203-1eb3caf34edd" xsi:nil="true"/>
    <Innovasjonsløft xmlns="9574e016-2d0b-41e2-91bf-b961c8110043" xsi:nil="true"/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EC606435-031D-4304-BD0B-E88CD525B2B7}"/>
</file>

<file path=customXml/itemProps2.xml><?xml version="1.0" encoding="utf-8"?>
<ds:datastoreItem xmlns:ds="http://schemas.openxmlformats.org/officeDocument/2006/customXml" ds:itemID="{04F7AAFE-1A5B-40C7-A79B-9B0DA83F94E7}"/>
</file>

<file path=customXml/itemProps3.xml><?xml version="1.0" encoding="utf-8"?>
<ds:datastoreItem xmlns:ds="http://schemas.openxmlformats.org/officeDocument/2006/customXml" ds:itemID="{1FE64E1C-BAC3-4A8E-8F80-E48F5A88BBF3}"/>
</file>

<file path=customXml/itemProps4.xml><?xml version="1.0" encoding="utf-8"?>
<ds:datastoreItem xmlns:ds="http://schemas.openxmlformats.org/officeDocument/2006/customXml" ds:itemID="{263A2E7E-8255-4F87-B321-5F5F083B6E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Søhoel Karin</dc:creator>
  <cp:keywords/>
  <dc:description/>
  <cp:lastModifiedBy>Søhoel Karin</cp:lastModifiedBy>
  <cp:revision>2</cp:revision>
  <dcterms:created xsi:type="dcterms:W3CDTF">2018-05-22T13:27:00Z</dcterms:created>
  <dcterms:modified xsi:type="dcterms:W3CDTF">2018-05-22T13:27:00Z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https://nhosp.sharepoint.com/leverandorutvikling/_layouts/15/wrkstat.aspx?List=9092cff8-8f17-469c-b203-1eb3caf34edd&amp;WorkflowInstanceName=b2ba2ea9-0ca0-43ad-a9ed-b5ae7e7ca0f1, Oppdater prosess</vt:lpwstr>
  </property>
</Properties>
</file>